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5A" w:rsidRPr="00D7632D" w:rsidRDefault="00A7215A" w:rsidP="00A7215A">
      <w:pPr>
        <w:ind w:firstLine="720"/>
        <w:jc w:val="right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 w:rsidRPr="00D7632D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1</w:t>
      </w:r>
    </w:p>
    <w:p w:rsidR="00A7215A" w:rsidRDefault="00A7215A" w:rsidP="00A7215A">
      <w:pP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</w:p>
    <w:p w:rsidR="00A7215A" w:rsidRPr="00B60640" w:rsidRDefault="00A7215A" w:rsidP="00A7215A">
      <w:pPr>
        <w:jc w:val="center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B60640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УК «Способен принимать обоснованные экономические решения в различных областях жизнедеятельности»</w:t>
      </w:r>
    </w:p>
    <w:p w:rsidR="00A7215A" w:rsidRPr="00B60640" w:rsidRDefault="00A7215A" w:rsidP="00A7215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60640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Формируется на уровне </w:t>
      </w:r>
      <w:proofErr w:type="spellStart"/>
      <w:r w:rsidRPr="00B60640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бакалавриата</w:t>
      </w:r>
      <w:proofErr w:type="spellEnd"/>
      <w:r w:rsidRPr="00B60640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 xml:space="preserve"> и </w:t>
      </w:r>
      <w:proofErr w:type="spellStart"/>
      <w:r w:rsidRPr="00B60640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специалитета</w:t>
      </w:r>
      <w:proofErr w:type="spellEnd"/>
    </w:p>
    <w:p w:rsidR="00A7215A" w:rsidRPr="00B60640" w:rsidRDefault="00A7215A" w:rsidP="00A7215A">
      <w:pPr>
        <w:rPr>
          <w:rFonts w:ascii="Times New Roman" w:hAnsi="Times New Roman" w:cs="Times New Roman"/>
        </w:rPr>
      </w:pPr>
    </w:p>
    <w:tbl>
      <w:tblPr>
        <w:tblW w:w="95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0"/>
        <w:gridCol w:w="6379"/>
      </w:tblGrid>
      <w:tr w:rsidR="00A7215A" w:rsidRPr="00D7632D" w:rsidTr="000B7A77">
        <w:trPr>
          <w:trHeight w:val="641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7215A" w:rsidRPr="00B60640" w:rsidRDefault="00C97F51" w:rsidP="000B7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="00A7215A" w:rsidRPr="00B60640">
              <w:rPr>
                <w:rFonts w:ascii="Times New Roman" w:hAnsi="Times New Roman" w:cs="Times New Roman"/>
                <w:bCs/>
              </w:rPr>
              <w:t xml:space="preserve">ндикаторы </w:t>
            </w:r>
            <w:r w:rsidR="00B60640" w:rsidRPr="00B60640">
              <w:rPr>
                <w:rFonts w:ascii="Times New Roman" w:hAnsi="Times New Roman" w:cs="Times New Roman"/>
                <w:bCs/>
              </w:rPr>
              <w:t xml:space="preserve">достижения </w:t>
            </w:r>
            <w:r w:rsidR="00A7215A" w:rsidRPr="00B60640">
              <w:rPr>
                <w:rFonts w:ascii="Times New Roman" w:hAnsi="Times New Roman" w:cs="Times New Roman"/>
                <w:bCs/>
              </w:rPr>
              <w:t>компетенции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7215A" w:rsidRPr="00B60640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  <w:r w:rsidRPr="00B60640">
              <w:rPr>
                <w:rFonts w:ascii="Times New Roman" w:hAnsi="Times New Roman" w:cs="Times New Roman"/>
                <w:bCs/>
              </w:rPr>
              <w:t>Планируемые результаты обучения по дисциплине (модулю), характеризующие этапы формирования компетенции</w:t>
            </w:r>
          </w:p>
        </w:tc>
      </w:tr>
      <w:tr w:rsidR="00A7215A" w:rsidRPr="00D7632D" w:rsidTr="000B7A77">
        <w:trPr>
          <w:trHeight w:val="46"/>
        </w:trPr>
        <w:tc>
          <w:tcPr>
            <w:tcW w:w="3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7215A" w:rsidRPr="00D7632D" w:rsidRDefault="00C97F51" w:rsidP="000B7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7215A" w:rsidRPr="00D7632D">
              <w:rPr>
                <w:rFonts w:ascii="Times New Roman" w:hAnsi="Times New Roman" w:cs="Times New Roman"/>
              </w:rPr>
              <w:t>онимает базовые принципы функционирования экономики и экономического развития, цели и формы участия государства в экономике И-1</w:t>
            </w:r>
            <w:r w:rsidR="00A7215A" w:rsidRPr="00D7632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7215A" w:rsidRPr="00D7632D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  <w:r w:rsidRPr="00D7632D">
              <w:rPr>
                <w:rFonts w:ascii="Times New Roman" w:hAnsi="Times New Roman" w:cs="Times New Roman"/>
                <w:i/>
                <w:iCs/>
              </w:rPr>
              <w:t>знает</w:t>
            </w:r>
          </w:p>
        </w:tc>
      </w:tr>
      <w:tr w:rsidR="00A7215A" w:rsidRPr="00D7632D" w:rsidTr="000B7A77">
        <w:trPr>
          <w:trHeight w:val="533"/>
        </w:trPr>
        <w:tc>
          <w:tcPr>
            <w:tcW w:w="3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7215A" w:rsidRPr="00D7632D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7215A" w:rsidRPr="00D7632D" w:rsidRDefault="00A7215A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D7632D">
              <w:rPr>
                <w:rFonts w:ascii="Times New Roman" w:hAnsi="Times New Roman" w:cs="Times New Roman"/>
              </w:rPr>
              <w:t>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 (ограниченная рациональность, поведенческие эффекты и систематические ошибки, с ними связанные) И-1. РО-1</w:t>
            </w:r>
          </w:p>
          <w:p w:rsidR="00A7215A" w:rsidRPr="00D7632D" w:rsidRDefault="00A7215A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D7632D">
              <w:rPr>
                <w:rFonts w:ascii="Times New Roman" w:hAnsi="Times New Roman" w:cs="Times New Roman"/>
              </w:rPr>
              <w:t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 И-1. РО-2</w:t>
            </w:r>
          </w:p>
          <w:p w:rsidR="00A7215A" w:rsidRPr="00D7632D" w:rsidRDefault="00A7215A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D7632D">
              <w:rPr>
                <w:rFonts w:ascii="Times New Roman" w:hAnsi="Times New Roman" w:cs="Times New Roman"/>
              </w:rPr>
              <w:t xml:space="preserve">Основные экономические понятия: экономические ресурсы, экономические агенты, товары, услуги, спрос, предложение, рыночный обмен, цена, деньги, доходы, издержки, прибыль, собственность, конкуренция, монополия, фирма, институты, </w:t>
            </w:r>
            <w:proofErr w:type="spellStart"/>
            <w:r w:rsidRPr="00D7632D">
              <w:rPr>
                <w:rFonts w:ascii="Times New Roman" w:hAnsi="Times New Roman" w:cs="Times New Roman"/>
              </w:rPr>
              <w:t>трансакционные</w:t>
            </w:r>
            <w:proofErr w:type="spellEnd"/>
            <w:r w:rsidRPr="00D7632D">
              <w:rPr>
                <w:rFonts w:ascii="Times New Roman" w:hAnsi="Times New Roman" w:cs="Times New Roman"/>
              </w:rPr>
              <w:t xml:space="preserve"> издержки, сбережения, инвестиции, кредит, процент, риск, страхование, государство, инфляция, безработица, валовой внутренний продукт, экономический рост и др. И-1. РО-3</w:t>
            </w:r>
          </w:p>
          <w:p w:rsidR="00A7215A" w:rsidRPr="00D7632D" w:rsidRDefault="00A7215A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D7632D">
              <w:rPr>
                <w:rFonts w:ascii="Times New Roman" w:hAnsi="Times New Roman" w:cs="Times New Roman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роста.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 И-1. РО-4.</w:t>
            </w:r>
          </w:p>
          <w:p w:rsidR="00A7215A" w:rsidRPr="00D7632D" w:rsidRDefault="00A7215A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D7632D">
              <w:rPr>
                <w:rFonts w:ascii="Times New Roman" w:hAnsi="Times New Roman" w:cs="Times New Roman"/>
              </w:rPr>
              <w:t>Понятие общественных благ и роль государства в их обеспечении. Цели, задачи, инструменты и эффекты бюджетной, налоговой, денежно-кредитной, социальной, пенсионной политики государства и их влияние на макроэкономические параметры и индивидов И-1. РО-5</w:t>
            </w:r>
          </w:p>
        </w:tc>
      </w:tr>
      <w:tr w:rsidR="00A7215A" w:rsidRPr="00D7632D" w:rsidTr="000B7A77">
        <w:trPr>
          <w:trHeight w:val="162"/>
        </w:trPr>
        <w:tc>
          <w:tcPr>
            <w:tcW w:w="3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7215A" w:rsidRPr="00D7632D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7215A" w:rsidRPr="00D7632D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  <w:r w:rsidRPr="00D7632D">
              <w:rPr>
                <w:rFonts w:ascii="Times New Roman" w:hAnsi="Times New Roman" w:cs="Times New Roman"/>
                <w:i/>
                <w:iCs/>
              </w:rPr>
              <w:t xml:space="preserve"> умеет</w:t>
            </w:r>
          </w:p>
        </w:tc>
      </w:tr>
      <w:tr w:rsidR="00A7215A" w:rsidRPr="00D7632D" w:rsidTr="000B7A77">
        <w:trPr>
          <w:trHeight w:val="179"/>
        </w:trPr>
        <w:tc>
          <w:tcPr>
            <w:tcW w:w="3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7215A" w:rsidRPr="00D7632D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7215A" w:rsidRPr="00D7632D" w:rsidRDefault="00A7215A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D7632D">
              <w:rPr>
                <w:rFonts w:ascii="Times New Roman" w:hAnsi="Times New Roman" w:cs="Times New Roman"/>
              </w:rPr>
              <w:t>Воспринимать и анализировать информацию, необходимую для принятия обоснованных экономических решений И-1. РО-6.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7215A" w:rsidRPr="00D7632D">
              <w:rPr>
                <w:rFonts w:ascii="Times New Roman" w:hAnsi="Times New Roman" w:cs="Times New Roman"/>
              </w:rPr>
              <w:t>ритически оценивать информацию о перспективах экономического роста и технологического развития экономики страны и отдельных ее отраслей И-1. РО-7.</w:t>
            </w:r>
          </w:p>
        </w:tc>
      </w:tr>
      <w:tr w:rsidR="00A7215A" w:rsidRPr="00D7632D" w:rsidTr="000B7A77">
        <w:trPr>
          <w:trHeight w:val="143"/>
        </w:trPr>
        <w:tc>
          <w:tcPr>
            <w:tcW w:w="31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7215A" w:rsidRPr="00D7632D" w:rsidRDefault="000B7A77" w:rsidP="000B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A7215A" w:rsidRPr="00D7632D">
              <w:rPr>
                <w:rFonts w:ascii="Times New Roman" w:hAnsi="Times New Roman" w:cs="Times New Roman"/>
              </w:rPr>
              <w:t>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 И-2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7215A" w:rsidRPr="00D7632D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  <w:r w:rsidRPr="00C97F51">
              <w:rPr>
                <w:rFonts w:ascii="Times New Roman" w:hAnsi="Times New Roman" w:cs="Times New Roman"/>
                <w:i/>
                <w:iCs/>
              </w:rPr>
              <w:t>знает</w:t>
            </w:r>
          </w:p>
        </w:tc>
      </w:tr>
      <w:tr w:rsidR="00A7215A" w:rsidRPr="00D7632D" w:rsidTr="000B7A77">
        <w:trPr>
          <w:trHeight w:val="648"/>
        </w:trPr>
        <w:tc>
          <w:tcPr>
            <w:tcW w:w="31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7215A" w:rsidRPr="00D7632D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215A" w:rsidRPr="00D7632D">
              <w:rPr>
                <w:rFonts w:ascii="Times New Roman" w:hAnsi="Times New Roman" w:cs="Times New Roman"/>
              </w:rPr>
              <w:t>сновные виды личных доходов (заработная плата, предпринимательский доход, рентные доходы и др.), механизмы их получения и увеличения; И-2. РО-1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7215A" w:rsidRPr="00D7632D">
              <w:rPr>
                <w:rFonts w:ascii="Times New Roman" w:hAnsi="Times New Roman" w:cs="Times New Roman"/>
              </w:rPr>
              <w:t>ущность и функции предпринимательской деятельности как одного из способов увеличения доходов и риски, связанные с ней, организационно-правовые формы предпринимательской деятельности, отличие частного предпринимательства от хозяйственной деятельности государственных организаций, особенности инновационного предпринимательства: коммерциализация разработок и патентование И-2. РО-2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215A" w:rsidRPr="00D7632D">
              <w:rPr>
                <w:rFonts w:ascii="Times New Roman" w:hAnsi="Times New Roman" w:cs="Times New Roman"/>
              </w:rPr>
              <w:t>сновные финансовые организации (Банк России, Агентство по страхованию вкладов, Пенсионный фонд России, коммерческий банк, страховая организация, биржа, негосударственный пенсионный фонд, и др.) и принципы взаимодействия индивида с ними; И-2. РО-3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215A" w:rsidRPr="00D7632D">
              <w:rPr>
                <w:rFonts w:ascii="Times New Roman" w:hAnsi="Times New Roman" w:cs="Times New Roman"/>
              </w:rPr>
              <w:t>сновные финансовые инструменты, используемые для управления личными финансами (банковский вклад, кредит, ценные бумаги, недвижимость, валюта, страхование) И-2. РО-4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tabs>
                <w:tab w:val="left" w:pos="784"/>
              </w:tabs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7215A" w:rsidRPr="00D7632D">
              <w:rPr>
                <w:rFonts w:ascii="Times New Roman" w:hAnsi="Times New Roman" w:cs="Times New Roman"/>
              </w:rPr>
              <w:t>онятия риск и неопределенность, осознает неизбежность риска и неопределенности в экономической и финансовой сфере; И-2. РО-5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tabs>
                <w:tab w:val="left" w:pos="784"/>
              </w:tabs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215A" w:rsidRPr="00D7632D">
              <w:rPr>
                <w:rFonts w:ascii="Times New Roman" w:hAnsi="Times New Roman" w:cs="Times New Roman"/>
              </w:rPr>
              <w:t>иды и источники возникновения экономических и финансовых рисков для индивида, способы их оценки и снижения; И-2. РО-6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215A" w:rsidRPr="00D7632D">
              <w:rPr>
                <w:rFonts w:ascii="Times New Roman" w:hAnsi="Times New Roman" w:cs="Times New Roman"/>
              </w:rPr>
              <w:t>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планирования; И-2. РО-7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215A" w:rsidRPr="00D7632D">
              <w:rPr>
                <w:rFonts w:ascii="Times New Roman" w:hAnsi="Times New Roman" w:cs="Times New Roman"/>
              </w:rPr>
              <w:t>сновные виды расходов (индивидуальные налоги и обязательные платежи; страховые взносы, аренда квартиры, коммунальные платежи, расходы на питание и др.), механизмы их снижения, способы формирования сбережений; И-2. РО-8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7215A" w:rsidRPr="00D7632D">
              <w:rPr>
                <w:rFonts w:ascii="Times New Roman" w:hAnsi="Times New Roman" w:cs="Times New Roman"/>
              </w:rPr>
              <w:t>ринципы и технологии ведения личного бюджета И-2 РО-9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215A" w:rsidRPr="00D7632D" w:rsidTr="000B7A77">
        <w:trPr>
          <w:trHeight w:val="406"/>
        </w:trPr>
        <w:tc>
          <w:tcPr>
            <w:tcW w:w="318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7215A" w:rsidRPr="00D7632D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7215A" w:rsidRPr="00D7632D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  <w:r w:rsidRPr="00C97F51">
              <w:rPr>
                <w:rFonts w:ascii="Times New Roman" w:hAnsi="Times New Roman" w:cs="Times New Roman"/>
                <w:i/>
                <w:iCs/>
              </w:rPr>
              <w:t>умеет</w:t>
            </w:r>
          </w:p>
        </w:tc>
      </w:tr>
      <w:tr w:rsidR="00A7215A" w:rsidRPr="00D7632D" w:rsidTr="000B7A77">
        <w:trPr>
          <w:trHeight w:val="648"/>
        </w:trPr>
        <w:tc>
          <w:tcPr>
            <w:tcW w:w="31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7215A" w:rsidRPr="00D7632D" w:rsidRDefault="00A7215A" w:rsidP="000B7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7215A" w:rsidRPr="00D7632D">
              <w:rPr>
                <w:rFonts w:ascii="Times New Roman" w:hAnsi="Times New Roman" w:cs="Times New Roman"/>
              </w:rPr>
              <w:t>ешать типичные задачи в сфере личного экономического и финансового планирования, возникающие на всех этапах жизненного цикла. И-2. РО-10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7215A" w:rsidRPr="00D7632D">
              <w:rPr>
                <w:rFonts w:ascii="Times New Roman" w:hAnsi="Times New Roman" w:cs="Times New Roman"/>
              </w:rPr>
              <w:t>ользоваться источниками информации о правах и обязанностях потребителя финансовых услуг, анализировать основные положения договора с финансовой организацией И-2. РО-11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215A" w:rsidRPr="00D7632D">
              <w:rPr>
                <w:rFonts w:ascii="Times New Roman" w:hAnsi="Times New Roman" w:cs="Times New Roman"/>
              </w:rPr>
              <w:t xml:space="preserve">ыбирать инструменты управления личными </w:t>
            </w:r>
            <w:r w:rsidR="00A7215A" w:rsidRPr="00D7632D">
              <w:rPr>
                <w:rFonts w:ascii="Times New Roman" w:hAnsi="Times New Roman" w:cs="Times New Roman"/>
              </w:rPr>
              <w:lastRenderedPageBreak/>
              <w:t>финансами для достижения поставленных финансовых целей, сравнивать их по критериям доходности, надежности и ликвидности И-2. РО-12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215A" w:rsidRPr="00D7632D">
              <w:rPr>
                <w:rFonts w:ascii="Times New Roman" w:hAnsi="Times New Roman" w:cs="Times New Roman"/>
              </w:rPr>
              <w:t>ценивать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 И-2. РО-13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7215A" w:rsidRPr="00D7632D">
              <w:rPr>
                <w:rFonts w:ascii="Times New Roman" w:hAnsi="Times New Roman" w:cs="Times New Roman"/>
              </w:rPr>
              <w:t>ести личный бюджет, используя существующие программные продукты И-2. РО-14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215A" w:rsidRPr="00D7632D" w:rsidRDefault="000B7A77" w:rsidP="000B7A77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215A" w:rsidRPr="00D7632D">
              <w:rPr>
                <w:rFonts w:ascii="Times New Roman" w:hAnsi="Times New Roman" w:cs="Times New Roman"/>
              </w:rPr>
              <w:t>ценивать свои права на налоговые льготы, пенсионные и социальные выплаты И-2. РО-15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7215A" w:rsidRDefault="00A7215A" w:rsidP="00A7215A">
      <w:pPr>
        <w:tabs>
          <w:tab w:val="left" w:pos="784"/>
        </w:tabs>
      </w:pPr>
    </w:p>
    <w:p w:rsidR="00A7215A" w:rsidRPr="000B7A77" w:rsidRDefault="00A7215A" w:rsidP="00A7215A"/>
    <w:sectPr w:rsidR="00A7215A" w:rsidRPr="000B7A77" w:rsidSect="000B7A77">
      <w:pgSz w:w="11900" w:h="16840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36" w:rsidRDefault="00945736" w:rsidP="000B7A77">
      <w:r>
        <w:separator/>
      </w:r>
    </w:p>
  </w:endnote>
  <w:endnote w:type="continuationSeparator" w:id="0">
    <w:p w:rsidR="00945736" w:rsidRDefault="00945736" w:rsidP="000B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36" w:rsidRDefault="00945736" w:rsidP="000B7A77">
      <w:r>
        <w:separator/>
      </w:r>
    </w:p>
  </w:footnote>
  <w:footnote w:type="continuationSeparator" w:id="0">
    <w:p w:rsidR="00945736" w:rsidRDefault="00945736" w:rsidP="000B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2EE2"/>
    <w:multiLevelType w:val="hybridMultilevel"/>
    <w:tmpl w:val="BB0EB3D6"/>
    <w:lvl w:ilvl="0" w:tplc="BE101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E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84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C0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0E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2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C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4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1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763E83"/>
    <w:multiLevelType w:val="hybridMultilevel"/>
    <w:tmpl w:val="F3080882"/>
    <w:lvl w:ilvl="0" w:tplc="B364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CF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C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0C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81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85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2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C1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F2403A"/>
    <w:multiLevelType w:val="hybridMultilevel"/>
    <w:tmpl w:val="4B6CC486"/>
    <w:lvl w:ilvl="0" w:tplc="E9AC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81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43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03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A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2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4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4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A363E2"/>
    <w:multiLevelType w:val="hybridMultilevel"/>
    <w:tmpl w:val="333295C8"/>
    <w:lvl w:ilvl="0" w:tplc="9DB83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2E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60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04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E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A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E9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F27"/>
    <w:rsid w:val="00051F0F"/>
    <w:rsid w:val="000B7A77"/>
    <w:rsid w:val="008E2F27"/>
    <w:rsid w:val="00945736"/>
    <w:rsid w:val="00A7215A"/>
    <w:rsid w:val="00B60640"/>
    <w:rsid w:val="00C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EC322"/>
  <w14:defaultImageDpi w14:val="300"/>
  <w15:docId w15:val="{61EA7984-E99D-4E44-ACEF-7289596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1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7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A77"/>
  </w:style>
  <w:style w:type="paragraph" w:styleId="a6">
    <w:name w:val="footer"/>
    <w:basedOn w:val="a"/>
    <w:link w:val="a7"/>
    <w:uiPriority w:val="99"/>
    <w:unhideWhenUsed/>
    <w:rsid w:val="000B7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телешова</dc:creator>
  <cp:keywords/>
  <dc:description/>
  <cp:lastModifiedBy>Microsoft Office User</cp:lastModifiedBy>
  <cp:revision>3</cp:revision>
  <dcterms:created xsi:type="dcterms:W3CDTF">2020-04-06T07:54:00Z</dcterms:created>
  <dcterms:modified xsi:type="dcterms:W3CDTF">2020-04-22T14:15:00Z</dcterms:modified>
</cp:coreProperties>
</file>